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16870"/>
          <w:sz w:val="36"/>
          <w:szCs w:val="36"/>
          <w:lang w:val="fr-FR"/>
        </w:rPr>
      </w:pPr>
      <w:r>
        <w:rPr>
          <w:rFonts w:ascii="Helvetica" w:hAnsi="Helvetica" w:cs="Helvetica"/>
          <w:color w:val="616870"/>
          <w:sz w:val="36"/>
          <w:szCs w:val="36"/>
          <w:lang w:val="fr-FR"/>
        </w:rPr>
        <w:t>ARTICLE SÉLECTIONNÉ DANS LA MATINALE DU 20/05/2017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32553"/>
          <w:sz w:val="26"/>
          <w:szCs w:val="26"/>
          <w:lang w:val="fr-FR"/>
        </w:rPr>
      </w:pPr>
      <w:bookmarkStart w:id="0" w:name="_GoBack"/>
      <w:bookmarkEnd w:id="0"/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48"/>
          <w:szCs w:val="48"/>
          <w:lang w:val="fr-FR"/>
        </w:rPr>
      </w:pPr>
      <w:r>
        <w:rPr>
          <w:rFonts w:ascii="Helvetica" w:hAnsi="Helvetica" w:cs="Helvetica"/>
          <w:color w:val="161615"/>
          <w:sz w:val="48"/>
          <w:szCs w:val="48"/>
          <w:lang w:val="fr-FR"/>
        </w:rPr>
        <w:t>Comment nommer le sexe des enfants ?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63E45"/>
          <w:sz w:val="32"/>
          <w:szCs w:val="32"/>
          <w:lang w:val="fr-FR"/>
        </w:rPr>
      </w:pPr>
      <w:r>
        <w:rPr>
          <w:rFonts w:ascii="Helvetica" w:hAnsi="Helvetica" w:cs="Helvetica"/>
          <w:color w:val="363E45"/>
          <w:sz w:val="32"/>
          <w:szCs w:val="32"/>
          <w:lang w:val="fr-FR"/>
        </w:rPr>
        <w:t xml:space="preserve">Le traitement différencié souvent réservé au « zizi » et à la « zézette » en dit long sur le rapport contrarié que nous entretenons avec la sexualité des enfants, remarque Maïa </w:t>
      </w:r>
      <w:proofErr w:type="spellStart"/>
      <w:r>
        <w:rPr>
          <w:rFonts w:ascii="Helvetica" w:hAnsi="Helvetica" w:cs="Helvetica"/>
          <w:color w:val="363E45"/>
          <w:sz w:val="32"/>
          <w:szCs w:val="32"/>
          <w:lang w:val="fr-FR"/>
        </w:rPr>
        <w:t>Mazaurette</w:t>
      </w:r>
      <w:proofErr w:type="spellEnd"/>
      <w:r>
        <w:rPr>
          <w:rFonts w:ascii="Helvetica" w:hAnsi="Helvetica" w:cs="Helvetica"/>
          <w:color w:val="363E45"/>
          <w:sz w:val="32"/>
          <w:szCs w:val="32"/>
          <w:lang w:val="fr-FR"/>
        </w:rPr>
        <w:t>, chroniqueuse pour La Matinale du « Monde ».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63E45"/>
          <w:sz w:val="32"/>
          <w:szCs w:val="32"/>
          <w:lang w:val="fr-FR"/>
        </w:rPr>
      </w:pP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noProof/>
          <w:color w:val="161615"/>
          <w:sz w:val="32"/>
          <w:szCs w:val="32"/>
          <w:lang w:val="fr-FR"/>
        </w:rPr>
        <w:drawing>
          <wp:inline distT="0" distB="0" distL="0" distR="0">
            <wp:extent cx="2438400" cy="3136900"/>
            <wp:effectExtent l="0" t="0" r="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Arial Black" w:hAnsi="Arial Black" w:cs="Arial Black"/>
          <w:b/>
          <w:bCs/>
          <w:color w:val="161615"/>
          <w:sz w:val="178"/>
          <w:szCs w:val="178"/>
          <w:lang w:val="fr-FR"/>
        </w:rPr>
        <w:t>L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>’affaire a défrayé le chronique il y a quelques semaines : dans son livre consacré au corps des enfants (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Quand ça va, quand ça va pas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paru aux Editions Clochette), le médecin animateur, star de </w:t>
      </w:r>
      <w:hyperlink r:id="rId7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France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5, Michel Cymes, réservait un traitement radicalement différent au sexe des petits garçons et à celui des petites filles.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Si le zizi était détaillé jusqu’aux gland, scrotum et prépuce, son équivalent féminin ne bénéficiait que du minimum syndical – un 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lastRenderedPageBreak/>
        <w:t xml:space="preserve">dessin anatomique moins précis, une description expéditive, une dénomination ésotérique. Citation : 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« Quand on est une fille, on a une zézette ou cocotte ou minou ou </w:t>
      </w:r>
      <w:proofErr w:type="spellStart"/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féfesse</w:t>
      </w:r>
      <w:proofErr w:type="spellEnd"/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… chacun donnant le nom qu’il veut à cette partie très intime du corps. »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(Notons ce « chacun » de </w:t>
      </w:r>
      <w:hyperlink r:id="rId8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genre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masculin.)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Face à une polémique pourtant 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archiprévisible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l’animateur a jugé opportun de </w:t>
      </w:r>
      <w:hyperlink r:id="rId9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traiter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sur </w:t>
      </w:r>
      <w:hyperlink r:id="rId10" w:history="1">
        <w:proofErr w:type="spellStart"/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Twitter</w:t>
        </w:r>
        <w:proofErr w:type="spellEnd"/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ses lecteurs de 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« malades »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. Il a depuis quitté ce réseau </w:t>
      </w:r>
      <w:hyperlink r:id="rId11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social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>, trop haineux et agressif à son goût (c’est sûr qu’en psychiatrisant les personnes abonnées à son compte, le dialogue était mal entamé).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Ici, et c’est un comble, non seulement on traite par-dessus la jambe le sexe des fillettes, mais on adresse le même je-m’en-foutisme à celles et à ceux qui réclament une éducation raisonnablement égalitaire (pour tout </w:t>
      </w:r>
      <w:hyperlink r:id="rId12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vous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</w:t>
      </w:r>
      <w:hyperlink r:id="rId13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dire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par respect pour ma « cocotte », je préfère </w:t>
      </w:r>
      <w:hyperlink r:id="rId14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faire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partie des « malades » que des bien portants). Quant à l’éditrice, elle a argué que les petites filles étaient trop jeunes pour </w:t>
      </w:r>
      <w:hyperlink r:id="rId15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entendre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</w:t>
      </w:r>
      <w:hyperlink r:id="rId16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parler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de leur clitoris… alors même que la page consacrée au pénis explique que, 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« parfois, le zizi devient dur »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>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40"/>
          <w:szCs w:val="40"/>
          <w:lang w:val="fr-FR"/>
        </w:rPr>
      </w:pPr>
      <w:r>
        <w:rPr>
          <w:rFonts w:ascii="Helvetica" w:hAnsi="Helvetica" w:cs="Helvetica"/>
          <w:color w:val="161615"/>
          <w:sz w:val="40"/>
          <w:szCs w:val="40"/>
          <w:lang w:val="fr-FR"/>
        </w:rPr>
        <w:t>Hypocrisie consommée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Ce double traitement, extraordinairement désuet et pourtant assumé, en dit long sur le rapport contrarié que nous entretenons avec la sexualité des enfants. Protection… ou chape de plomb ? Personne ne s’émeut d’un petit garçon qui tire sur son pénis, alors qu’une petite fille se verra souvent </w:t>
      </w:r>
      <w:hyperlink r:id="rId17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interdire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de se </w:t>
      </w:r>
      <w:hyperlink r:id="rId18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toucher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« là ». En animalisant la vulve (« minou », « cocotte »), en la confondant avec une autre zone (« 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féfesse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> »), on crée du trouble là où se trouvent des organes.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C’est évidemment très grave. Non seulement pour la fillette qui s’imprègne de l’omerta ambiante – « passe ton chemin, y’a rien à voir ». Mais aussi pour le garçonnet qui grandit avec l’idée que si son sexe est dicible, montrable et érectile, alors il est forcément supérieur à l’indicible, 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immontrable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et finalement inexistant sexe féminin – le même entrejambe lisse qu’il peut </w:t>
      </w:r>
      <w:hyperlink r:id="rId19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observer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sur les poupées ou sur les mannequins des vitrines… et qui se retrouve à une fente près dans la pornographie grand public, voire sous le bistouri des chirurgiens esthétiques.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Car, sans surprise, le sexisme de notre éducation porte ses conséquences au-delà de l’enfance : ainsi, une étude britannique d’Eve 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Appeal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parue en 2014, montre que la moitié des jeunes femmes de 26 à 35 ans ne savent pas </w:t>
      </w:r>
      <w:hyperlink r:id="rId20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reconnaître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un vagin sur une planche anatomique.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Que notre société se plaigne de libidos féminines défaillantes, contrariées, d’anorgasmies, de simulations, qu’on déplore la masse de femmes adultes complètement ignorantes du fonctionnement de leur </w:t>
      </w:r>
      <w:proofErr w:type="gramStart"/>
      <w:r>
        <w:rPr>
          <w:rFonts w:ascii="Helvetica" w:hAnsi="Helvetica" w:cs="Helvetica"/>
          <w:color w:val="161615"/>
          <w:sz w:val="32"/>
          <w:szCs w:val="32"/>
          <w:lang w:val="fr-FR"/>
        </w:rPr>
        <w:t>corps….</w:t>
      </w:r>
      <w:proofErr w:type="gram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tout en jouant l’autruche dès lors qu’il s’agit de </w:t>
      </w:r>
      <w:hyperlink r:id="rId21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mettre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un mot sur le sexe des petites filles : voilà qui est tout de même d’une hypocrisie consommée.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40"/>
          <w:szCs w:val="40"/>
          <w:lang w:val="fr-FR"/>
        </w:rPr>
      </w:pPr>
      <w:r>
        <w:rPr>
          <w:rFonts w:ascii="Helvetica" w:hAnsi="Helvetica" w:cs="Helvetica"/>
          <w:color w:val="161615"/>
          <w:sz w:val="40"/>
          <w:szCs w:val="40"/>
          <w:lang w:val="fr-FR"/>
        </w:rPr>
        <w:t>« Ce qui compte est de nommer »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Dans un ouvrage qui vient de </w:t>
      </w:r>
      <w:hyperlink r:id="rId22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paraître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aux éditions Payot Santé (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Les Femmes et leur sexe. Ne plus </w:t>
      </w:r>
      <w:hyperlink r:id="rId23" w:history="1">
        <w:r>
          <w:rPr>
            <w:rFonts w:ascii="Helvetica" w:hAnsi="Helvetica" w:cs="Helvetica"/>
            <w:i/>
            <w:iCs/>
            <w:color w:val="161615"/>
            <w:sz w:val="32"/>
            <w:szCs w:val="32"/>
            <w:lang w:val="fr-FR"/>
          </w:rPr>
          <w:t>avoir</w:t>
        </w:r>
      </w:hyperlink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 mal, </w:t>
      </w:r>
      <w:hyperlink r:id="rId24" w:history="1">
        <w:r>
          <w:rPr>
            <w:rFonts w:ascii="Helvetica" w:hAnsi="Helvetica" w:cs="Helvetica"/>
            <w:i/>
            <w:iCs/>
            <w:color w:val="161615"/>
            <w:sz w:val="32"/>
            <w:szCs w:val="32"/>
            <w:lang w:val="fr-FR"/>
          </w:rPr>
          <w:t>renouer</w:t>
        </w:r>
      </w:hyperlink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 avec son désir, se </w:t>
      </w:r>
      <w:hyperlink r:id="rId25" w:history="1">
        <w:r>
          <w:rPr>
            <w:rFonts w:ascii="Helvetica" w:hAnsi="Helvetica" w:cs="Helvetica"/>
            <w:i/>
            <w:iCs/>
            <w:color w:val="161615"/>
            <w:sz w:val="32"/>
            <w:szCs w:val="32"/>
            <w:lang w:val="fr-FR"/>
          </w:rPr>
          <w:t>sentir</w:t>
        </w:r>
      </w:hyperlink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 libre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), les sexologues Heidi Beroud-Poyet et Laura 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Beltran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déplorent cette absurdité :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</w:pPr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 xml:space="preserve">« Il y a les expressions consacrées et celles qu’on invente. Le “zizi” pour les garçons ne pose de problème à personne. En revanche, pour les filles, que dire ? Certains choisissent de se </w:t>
      </w:r>
      <w:hyperlink r:id="rId26" w:history="1">
        <w:r>
          <w:rPr>
            <w:rFonts w:ascii="Helvetica" w:hAnsi="Helvetica" w:cs="Helvetica"/>
            <w:i/>
            <w:iCs/>
            <w:color w:val="4B535A"/>
            <w:sz w:val="32"/>
            <w:szCs w:val="32"/>
            <w:lang w:val="fr-FR"/>
          </w:rPr>
          <w:t>taire</w:t>
        </w:r>
      </w:hyperlink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 xml:space="preserve"> (…). On féminise le plus souvent le “zizi”, qui devient “zézette”. Le Petit Robert admet une extension du mot “zizi” au sexe féminin. Mais ce n’est qu’une extension. Le mot “pénis” a onze synonymes. Le mot “vulve”, seulement deux. Qu’importe, ce qui compte est de </w:t>
      </w:r>
      <w:hyperlink r:id="rId27" w:history="1">
        <w:r>
          <w:rPr>
            <w:rFonts w:ascii="Helvetica" w:hAnsi="Helvetica" w:cs="Helvetica"/>
            <w:i/>
            <w:iCs/>
            <w:color w:val="4B535A"/>
            <w:sz w:val="32"/>
            <w:szCs w:val="32"/>
            <w:lang w:val="fr-FR"/>
          </w:rPr>
          <w:t>nommer</w:t>
        </w:r>
      </w:hyperlink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 xml:space="preserve">. Cela permet de </w:t>
      </w:r>
      <w:hyperlink r:id="rId28" w:history="1">
        <w:r>
          <w:rPr>
            <w:rFonts w:ascii="Helvetica" w:hAnsi="Helvetica" w:cs="Helvetica"/>
            <w:i/>
            <w:iCs/>
            <w:color w:val="4B535A"/>
            <w:sz w:val="32"/>
            <w:szCs w:val="32"/>
            <w:lang w:val="fr-FR"/>
          </w:rPr>
          <w:t>savoir</w:t>
        </w:r>
      </w:hyperlink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 xml:space="preserve"> qu’on n’a pas rien. Ne pas nommer peut </w:t>
      </w:r>
      <w:hyperlink r:id="rId29" w:history="1">
        <w:r>
          <w:rPr>
            <w:rFonts w:ascii="Helvetica" w:hAnsi="Helvetica" w:cs="Helvetica"/>
            <w:i/>
            <w:iCs/>
            <w:color w:val="4B535A"/>
            <w:sz w:val="32"/>
            <w:szCs w:val="32"/>
            <w:lang w:val="fr-FR"/>
          </w:rPr>
          <w:t>signifier</w:t>
        </w:r>
      </w:hyperlink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 xml:space="preserve"> qu’il n’y a rien à </w:t>
      </w:r>
      <w:hyperlink r:id="rId30" w:history="1">
        <w:r>
          <w:rPr>
            <w:rFonts w:ascii="Helvetica" w:hAnsi="Helvetica" w:cs="Helvetica"/>
            <w:i/>
            <w:iCs/>
            <w:color w:val="4B535A"/>
            <w:sz w:val="32"/>
            <w:szCs w:val="32"/>
            <w:lang w:val="fr-FR"/>
          </w:rPr>
          <w:t>voir</w:t>
        </w:r>
      </w:hyperlink>
      <w:r>
        <w:rPr>
          <w:rFonts w:ascii="Helvetica" w:hAnsi="Helvetica" w:cs="Helvetica"/>
          <w:i/>
          <w:iCs/>
          <w:color w:val="4B535A"/>
          <w:sz w:val="32"/>
          <w:szCs w:val="32"/>
          <w:lang w:val="fr-FR"/>
        </w:rPr>
        <w:t>. »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Nommer, donc. Si nos enfants ont des bras et des jambes, ils ont aussi des pénis et des vulves. Ce n’est pas les </w:t>
      </w:r>
      <w:hyperlink r:id="rId31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exposer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à la sexualité que de leur </w:t>
      </w:r>
      <w:hyperlink r:id="rId32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apprendre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comment </w:t>
      </w:r>
      <w:hyperlink r:id="rId33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décrire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leur sexe : cela leur permet tout simplement de se l’approprier – non seulement pour se </w:t>
      </w:r>
      <w:hyperlink r:id="rId34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construire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intellectuellement (en bâtissant leur propre relation au sexe et au genre), mais aussi pour mieux </w:t>
      </w:r>
      <w:hyperlink r:id="rId35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comprendre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la différence intergénérationnelle, et pour </w:t>
      </w:r>
      <w:hyperlink r:id="rId36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établir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des limites entre soi et les autres.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Un « minou » est un animal que n’importe qui peut </w:t>
      </w:r>
      <w:hyperlink r:id="rId37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caresser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>. Une « 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féfesse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> » n’est pas aussi chargée sexuellement qu’une vulve.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40"/>
          <w:szCs w:val="40"/>
          <w:lang w:val="fr-FR"/>
        </w:rPr>
      </w:pPr>
      <w:r>
        <w:rPr>
          <w:rFonts w:ascii="Helvetica" w:hAnsi="Helvetica" w:cs="Helvetica"/>
          <w:color w:val="161615"/>
          <w:sz w:val="40"/>
          <w:szCs w:val="40"/>
          <w:lang w:val="fr-FR"/>
        </w:rPr>
        <w:t>Des visions fantasmées en inadéquation avec la réalité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Nommer, c’est défendre… mais aussi </w:t>
      </w:r>
      <w:hyperlink r:id="rId38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autoriser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les premières explorations. Actuellement, une fille sur quatre arrive au premier rapport sexuel sans s’être jamais masturbée (Philippe 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Brenot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</w:t>
      </w:r>
      <w:hyperlink r:id="rId39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enquête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« </w:t>
      </w:r>
      <w:hyperlink r:id="rId40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Contexte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de la sexualité en France »). Contre un garçon sur vingt ! La masturbation n’est évidemment pas le gage d’une félicité éternelle ni même d’un premier rapport aisé.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Pour ce qui concerne la grande conversation, vous pouvez vous </w:t>
      </w:r>
      <w:hyperlink r:id="rId41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épargner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l’</w:t>
      </w:r>
      <w:hyperlink r:id="rId42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expos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é multimédia de 45 minutes. Toujours dans 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>Les Femmes et leur sexe</w:t>
      </w: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 : </w:t>
      </w:r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« En parler n’est pas obligatoire si l’on ne se sent pas à l’aise. </w:t>
      </w:r>
      <w:hyperlink r:id="rId43" w:history="1">
        <w:r>
          <w:rPr>
            <w:rFonts w:ascii="Helvetica" w:hAnsi="Helvetica" w:cs="Helvetica"/>
            <w:i/>
            <w:iCs/>
            <w:color w:val="161615"/>
            <w:sz w:val="32"/>
            <w:szCs w:val="32"/>
            <w:lang w:val="fr-FR"/>
          </w:rPr>
          <w:t>Aborder</w:t>
        </w:r>
      </w:hyperlink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 la sexualité avec son enfant, c’est déjà </w:t>
      </w:r>
      <w:hyperlink r:id="rId44" w:history="1">
        <w:r>
          <w:rPr>
            <w:rFonts w:ascii="Helvetica" w:hAnsi="Helvetica" w:cs="Helvetica"/>
            <w:i/>
            <w:iCs/>
            <w:color w:val="161615"/>
            <w:sz w:val="32"/>
            <w:szCs w:val="32"/>
            <w:lang w:val="fr-FR"/>
          </w:rPr>
          <w:t>laisser</w:t>
        </w:r>
      </w:hyperlink>
      <w:r>
        <w:rPr>
          <w:rFonts w:ascii="Helvetica" w:hAnsi="Helvetica" w:cs="Helvetica"/>
          <w:i/>
          <w:iCs/>
          <w:color w:val="161615"/>
          <w:sz w:val="32"/>
          <w:szCs w:val="32"/>
          <w:lang w:val="fr-FR"/>
        </w:rPr>
        <w:t xml:space="preserve"> la sexualité faire partie de la vie. »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A condition de ne pas </w:t>
      </w:r>
      <w:hyperlink r:id="rId45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détourner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les yeux, de ne pas </w:t>
      </w:r>
      <w:hyperlink r:id="rId46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ricaner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de ne pas </w:t>
      </w:r>
      <w:hyperlink r:id="rId47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changer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de chaîne dès que deux héros s’embrassent… à condition aussi d’utiliser les mots adaptés.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Même si nous ne sommes pas nécessairement otages de notre passé, personne ne contestera que l’enfance </w:t>
      </w:r>
      <w:proofErr w:type="gramStart"/>
      <w:r>
        <w:rPr>
          <w:rFonts w:ascii="Helvetica" w:hAnsi="Helvetica" w:cs="Helvetica"/>
          <w:color w:val="161615"/>
          <w:sz w:val="32"/>
          <w:szCs w:val="32"/>
          <w:lang w:val="fr-FR"/>
        </w:rPr>
        <w:t>est</w:t>
      </w:r>
      <w:proofErr w:type="gram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une période-clé de notre construction sexuelle. A ce </w:t>
      </w:r>
      <w:hyperlink r:id="rId48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titre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</w:t>
      </w:r>
      <w:hyperlink r:id="rId49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transmettre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la toute-puissance du pénis et l’impuissance absolue de la vulve sont autant de </w:t>
      </w:r>
      <w:hyperlink r:id="rId50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cadeaux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empoisonnés – tant ces visions fantasmées du corps sont en inadéquation avec la réalité du terrain.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40"/>
          <w:szCs w:val="40"/>
          <w:lang w:val="fr-FR"/>
        </w:rPr>
      </w:pPr>
      <w:r>
        <w:rPr>
          <w:rFonts w:ascii="Helvetica" w:hAnsi="Helvetica" w:cs="Helvetica"/>
          <w:color w:val="161615"/>
          <w:sz w:val="40"/>
          <w:szCs w:val="40"/>
          <w:lang w:val="fr-FR"/>
        </w:rPr>
        <w:t>Nommer sans en faire toute une histoire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>N’oublions pas, en outre, qu’avec la précocité de plus en plus marquée des pubertés une petite fille ne le reste pas si longtemps. Les glandes mammaires se développent dès 10-11 ans (</w:t>
      </w:r>
      <w:hyperlink r:id="rId51" w:history="1">
        <w:r>
          <w:rPr>
            <w:rFonts w:ascii="Helvetica" w:hAnsi="Helvetica" w:cs="Helvetica"/>
            <w:color w:val="032553"/>
            <w:sz w:val="32"/>
            <w:szCs w:val="32"/>
            <w:lang w:val="fr-FR"/>
          </w:rPr>
          <w:t>Inserm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). Les premières règles arrivent en moyenne vers 13 ans, mais peuvent se </w:t>
      </w:r>
      <w:hyperlink r:id="rId52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manifester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dès 10 ans !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Si, à cet âge, la fillette croit encore qu’elle </w:t>
      </w:r>
      <w:proofErr w:type="gramStart"/>
      <w:r>
        <w:rPr>
          <w:rFonts w:ascii="Helvetica" w:hAnsi="Helvetica" w:cs="Helvetica"/>
          <w:color w:val="161615"/>
          <w:sz w:val="32"/>
          <w:szCs w:val="32"/>
          <w:lang w:val="fr-FR"/>
        </w:rPr>
        <w:t>a</w:t>
      </w:r>
      <w:proofErr w:type="gram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une « zézette », ses parents ne l’auront pas protégée, mais au contraire rendue vulnérable. A quoi s’ajoute la prophétie d’une menstruation forcément tapissée de crampes (si c’est le cas, il faut parler de solutions potentielles avec son ou sa gynécologue), ainsi que la « 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romantisation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 » par la </w:t>
      </w:r>
      <w:hyperlink r:id="rId53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culture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populaire d’un premier rapport qui passe en force (la douleur, nécessaire pour </w:t>
      </w:r>
      <w:hyperlink r:id="rId54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éclore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comme un papillon).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>Entre « </w:t>
      </w:r>
      <w:proofErr w:type="spellStart"/>
      <w:r>
        <w:rPr>
          <w:rFonts w:ascii="Helvetica" w:hAnsi="Helvetica" w:cs="Helvetica"/>
          <w:color w:val="161615"/>
          <w:sz w:val="32"/>
          <w:szCs w:val="32"/>
          <w:lang w:val="fr-FR"/>
        </w:rPr>
        <w:t>invisibilisation</w:t>
      </w:r>
      <w:proofErr w:type="spellEnd"/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 » et attentes exacerbées concernant la honte et la souffrance, tous les éléments sont rassemblés pour </w:t>
      </w:r>
      <w:hyperlink r:id="rId55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générer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chez les petites filles des angoisses insondables.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Justement parce que nous voulons </w:t>
      </w:r>
      <w:hyperlink r:id="rId56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préserver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leur part d’innocence, pourquoi ne pas </w:t>
      </w:r>
      <w:hyperlink r:id="rId57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commencer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 par nommer leur anatomie, sans </w:t>
      </w:r>
      <w:hyperlink r:id="rId58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dramatiser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 xml:space="preserve">, sans en faire toute une </w:t>
      </w:r>
      <w:hyperlink r:id="rId59" w:history="1">
        <w:r>
          <w:rPr>
            <w:rFonts w:ascii="Helvetica" w:hAnsi="Helvetica" w:cs="Helvetica"/>
            <w:color w:val="161615"/>
            <w:sz w:val="32"/>
            <w:szCs w:val="32"/>
            <w:lang w:val="fr-FR"/>
          </w:rPr>
          <w:t>histoire</w:t>
        </w:r>
      </w:hyperlink>
      <w:r>
        <w:rPr>
          <w:rFonts w:ascii="Helvetica" w:hAnsi="Helvetica" w:cs="Helvetica"/>
          <w:color w:val="161615"/>
          <w:sz w:val="32"/>
          <w:szCs w:val="32"/>
          <w:lang w:val="fr-FR"/>
        </w:rPr>
        <w:t> ? Nos enfants ont des corps, nos enfants ont des sexes. Parlons-en. Avec eux.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32"/>
          <w:szCs w:val="32"/>
          <w:lang w:val="fr-FR"/>
        </w:rPr>
      </w:pP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26"/>
          <w:szCs w:val="26"/>
          <w:lang w:val="fr-FR"/>
        </w:rPr>
      </w:pPr>
    </w:p>
    <w:p w:rsidR="00840D80" w:rsidRDefault="00840D80" w:rsidP="00840D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" w:hAnsi="Helvetica" w:cs="Helvetica"/>
          <w:color w:val="161615"/>
          <w:sz w:val="26"/>
          <w:szCs w:val="26"/>
          <w:lang w:val="fr-FR"/>
        </w:rPr>
      </w:pPr>
      <w:r>
        <w:rPr>
          <w:rFonts w:ascii="Helvetica" w:hAnsi="Helvetica" w:cs="Helvetica"/>
          <w:b/>
          <w:bCs/>
          <w:color w:val="161615"/>
          <w:kern w:val="1"/>
          <w:sz w:val="26"/>
          <w:szCs w:val="26"/>
          <w:lang w:val="fr-FR"/>
        </w:rPr>
        <w:tab/>
      </w:r>
      <w:r>
        <w:rPr>
          <w:rFonts w:ascii="Helvetica" w:hAnsi="Helvetica" w:cs="Helvetica"/>
          <w:b/>
          <w:bCs/>
          <w:color w:val="161615"/>
          <w:kern w:val="1"/>
          <w:sz w:val="26"/>
          <w:szCs w:val="26"/>
          <w:lang w:val="fr-FR"/>
        </w:rPr>
        <w:tab/>
      </w:r>
      <w:r>
        <w:rPr>
          <w:rFonts w:ascii="Helvetica" w:hAnsi="Helvetica" w:cs="Helvetica"/>
          <w:b/>
          <w:bCs/>
          <w:color w:val="161615"/>
          <w:sz w:val="26"/>
          <w:szCs w:val="26"/>
          <w:lang w:val="fr-FR"/>
        </w:rPr>
        <w:t xml:space="preserve">Maïa </w:t>
      </w:r>
      <w:proofErr w:type="spellStart"/>
      <w:r>
        <w:rPr>
          <w:rFonts w:ascii="Helvetica" w:hAnsi="Helvetica" w:cs="Helvetica"/>
          <w:b/>
          <w:bCs/>
          <w:color w:val="161615"/>
          <w:sz w:val="26"/>
          <w:szCs w:val="26"/>
          <w:lang w:val="fr-FR"/>
        </w:rPr>
        <w:t>Mazaurette</w:t>
      </w:r>
      <w:proofErr w:type="spellEnd"/>
      <w:r>
        <w:rPr>
          <w:rFonts w:ascii="Helvetica" w:hAnsi="Helvetica" w:cs="Helvetica"/>
          <w:color w:val="161615"/>
          <w:sz w:val="26"/>
          <w:szCs w:val="26"/>
          <w:lang w:val="fr-FR"/>
        </w:rPr>
        <w:t xml:space="preserve">  </w:t>
      </w:r>
      <w:r>
        <w:rPr>
          <w:rFonts w:ascii="Helvetica" w:hAnsi="Helvetica" w:cs="Helvetica"/>
          <w:color w:val="91999E"/>
          <w:sz w:val="26"/>
          <w:szCs w:val="26"/>
          <w:lang w:val="fr-FR"/>
        </w:rPr>
        <w:t>Journaliste au Monde</w:t>
      </w: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26"/>
          <w:szCs w:val="26"/>
          <w:lang w:val="fr-FR"/>
        </w:rPr>
      </w:pP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26"/>
          <w:szCs w:val="26"/>
          <w:lang w:val="fr-FR"/>
        </w:rPr>
      </w:pPr>
    </w:p>
    <w:p w:rsidR="00840D80" w:rsidRDefault="00840D80" w:rsidP="00840D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61615"/>
          <w:sz w:val="26"/>
          <w:szCs w:val="26"/>
          <w:lang w:val="fr-FR"/>
        </w:rPr>
      </w:pPr>
    </w:p>
    <w:p w:rsidR="007E359E" w:rsidRDefault="00840D80" w:rsidP="00840D80">
      <w:r>
        <w:rPr>
          <w:rFonts w:ascii="Helvetica" w:hAnsi="Helvetica" w:cs="Helvetica"/>
          <w:color w:val="161615"/>
          <w:sz w:val="26"/>
          <w:szCs w:val="26"/>
          <w:lang w:val="fr-FR"/>
        </w:rPr>
        <w:t>En savoir plus sur http://www.lemonde.fr/m-perso/article/2017/05/21/nos-enfants-ont-des-sexes-parlons-en_5131254_4497916.html#cXV2hK1CyGkvXCe3.99</w:t>
      </w:r>
    </w:p>
    <w:sectPr w:rsidR="007E359E" w:rsidSect="00BB61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80"/>
    <w:rsid w:val="007E359E"/>
    <w:rsid w:val="00840D80"/>
    <w:rsid w:val="00B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E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0D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D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0D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D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jugaison.lemonde.fr/conjugaison/troisieme-groupe/dire/" TargetMode="External"/><Relationship Id="rId14" Type="http://schemas.openxmlformats.org/officeDocument/2006/relationships/hyperlink" Target="http://conjugaison.lemonde.fr/conjugaison/troisieme-groupe/faire/" TargetMode="External"/><Relationship Id="rId15" Type="http://schemas.openxmlformats.org/officeDocument/2006/relationships/hyperlink" Target="http://conjugaison.lemonde.fr/conjugaison/troisieme-groupe/entendre/" TargetMode="External"/><Relationship Id="rId16" Type="http://schemas.openxmlformats.org/officeDocument/2006/relationships/hyperlink" Target="http://conjugaison.lemonde.fr/conjugaison/premier-groupe/parler/" TargetMode="External"/><Relationship Id="rId17" Type="http://schemas.openxmlformats.org/officeDocument/2006/relationships/hyperlink" Target="http://conjugaison.lemonde.fr/conjugaison/troisieme-groupe/interdire/" TargetMode="External"/><Relationship Id="rId18" Type="http://schemas.openxmlformats.org/officeDocument/2006/relationships/hyperlink" Target="http://conjugaison.lemonde.fr/conjugaison/premier-groupe/toucher/" TargetMode="External"/><Relationship Id="rId19" Type="http://schemas.openxmlformats.org/officeDocument/2006/relationships/hyperlink" Target="http://conjugaison.lemonde.fr/conjugaison/premier-groupe/observer/" TargetMode="External"/><Relationship Id="rId50" Type="http://schemas.openxmlformats.org/officeDocument/2006/relationships/hyperlink" Target="http://www.lemonde.fr/cadeaux/" TargetMode="External"/><Relationship Id="rId51" Type="http://schemas.openxmlformats.org/officeDocument/2006/relationships/hyperlink" Target="http://www.ipubli.inserm.fr/bitstream/handle/10608/222/?sequence=11" TargetMode="External"/><Relationship Id="rId52" Type="http://schemas.openxmlformats.org/officeDocument/2006/relationships/hyperlink" Target="http://conjugaison.lemonde.fr/conjugaison/premier-groupe/manifester/" TargetMode="External"/><Relationship Id="rId53" Type="http://schemas.openxmlformats.org/officeDocument/2006/relationships/hyperlink" Target="http://www.lemonde.fr/culture/" TargetMode="External"/><Relationship Id="rId54" Type="http://schemas.openxmlformats.org/officeDocument/2006/relationships/hyperlink" Target="http://conjugaison.lemonde.fr/conjugaison/troisieme-groupe/%C3%A9clore/" TargetMode="External"/><Relationship Id="rId55" Type="http://schemas.openxmlformats.org/officeDocument/2006/relationships/hyperlink" Target="http://conjugaison.lemonde.fr/conjugaison/premier-groupe/g%C3%A9n%C3%A9rer/" TargetMode="External"/><Relationship Id="rId56" Type="http://schemas.openxmlformats.org/officeDocument/2006/relationships/hyperlink" Target="http://conjugaison.lemonde.fr/conjugaison/premier-groupe/pr%C3%A9server/" TargetMode="External"/><Relationship Id="rId57" Type="http://schemas.openxmlformats.org/officeDocument/2006/relationships/hyperlink" Target="http://conjugaison.lemonde.fr/conjugaison/premier-groupe/commencer/" TargetMode="External"/><Relationship Id="rId58" Type="http://schemas.openxmlformats.org/officeDocument/2006/relationships/hyperlink" Target="http://conjugaison.lemonde.fr/conjugaison/premier-groupe/dramatiser/" TargetMode="External"/><Relationship Id="rId59" Type="http://schemas.openxmlformats.org/officeDocument/2006/relationships/hyperlink" Target="http://www.lemonde.fr/histoire/" TargetMode="External"/><Relationship Id="rId40" Type="http://schemas.openxmlformats.org/officeDocument/2006/relationships/hyperlink" Target="http://www.lemonde.fr/contexte/" TargetMode="External"/><Relationship Id="rId41" Type="http://schemas.openxmlformats.org/officeDocument/2006/relationships/hyperlink" Target="http://conjugaison.lemonde.fr/conjugaison/premier-groupe/%C3%A9pargner/" TargetMode="External"/><Relationship Id="rId42" Type="http://schemas.openxmlformats.org/officeDocument/2006/relationships/hyperlink" Target="http://www.lemonde.fr/m-design-deco-l-expo/" TargetMode="External"/><Relationship Id="rId43" Type="http://schemas.openxmlformats.org/officeDocument/2006/relationships/hyperlink" Target="http://conjugaison.lemonde.fr/conjugaison/premier-groupe/aborder/" TargetMode="External"/><Relationship Id="rId44" Type="http://schemas.openxmlformats.org/officeDocument/2006/relationships/hyperlink" Target="http://conjugaison.lemonde.fr/conjugaison/premier-groupe/laisser/" TargetMode="External"/><Relationship Id="rId45" Type="http://schemas.openxmlformats.org/officeDocument/2006/relationships/hyperlink" Target="http://conjugaison.lemonde.fr/conjugaison/premier-groupe/d%C3%A9tourner/" TargetMode="External"/><Relationship Id="rId46" Type="http://schemas.openxmlformats.org/officeDocument/2006/relationships/hyperlink" Target="http://conjugaison.lemonde.fr/conjugaison/premier-groupe/ricaner/" TargetMode="External"/><Relationship Id="rId47" Type="http://schemas.openxmlformats.org/officeDocument/2006/relationships/hyperlink" Target="http://conjugaison.lemonde.fr/conjugaison/premier-groupe/changer/" TargetMode="External"/><Relationship Id="rId48" Type="http://schemas.openxmlformats.org/officeDocument/2006/relationships/hyperlink" Target="http://conjugaison.lemonde.fr/conjugaison/troisieme-groupe/titre/" TargetMode="External"/><Relationship Id="rId49" Type="http://schemas.openxmlformats.org/officeDocument/2006/relationships/hyperlink" Target="http://conjugaison.lemonde.fr/conjugaison/troisieme-groupe/transmettre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lemonde.fr/europeennes-france/" TargetMode="External"/><Relationship Id="rId8" Type="http://schemas.openxmlformats.org/officeDocument/2006/relationships/hyperlink" Target="http://www.lemonde.fr/afrique-genre/" TargetMode="External"/><Relationship Id="rId9" Type="http://schemas.openxmlformats.org/officeDocument/2006/relationships/hyperlink" Target="http://conjugaison.lemonde.fr/conjugaison/premier-groupe/traiter/" TargetMode="External"/><Relationship Id="rId30" Type="http://schemas.openxmlformats.org/officeDocument/2006/relationships/hyperlink" Target="http://conjugaison.lemonde.fr/conjugaison/troisieme-groupe/voir/" TargetMode="External"/><Relationship Id="rId31" Type="http://schemas.openxmlformats.org/officeDocument/2006/relationships/hyperlink" Target="http://conjugaison.lemonde.fr/conjugaison/premier-groupe/exposer/" TargetMode="External"/><Relationship Id="rId32" Type="http://schemas.openxmlformats.org/officeDocument/2006/relationships/hyperlink" Target="http://conjugaison.lemonde.fr/conjugaison/troisieme-groupe/apprendre/" TargetMode="External"/><Relationship Id="rId33" Type="http://schemas.openxmlformats.org/officeDocument/2006/relationships/hyperlink" Target="http://conjugaison.lemonde.fr/conjugaison/troisieme-groupe/d%C3%A9crire/" TargetMode="External"/><Relationship Id="rId34" Type="http://schemas.openxmlformats.org/officeDocument/2006/relationships/hyperlink" Target="http://conjugaison.lemonde.fr/conjugaison/troisieme-groupe/construire/" TargetMode="External"/><Relationship Id="rId35" Type="http://schemas.openxmlformats.org/officeDocument/2006/relationships/hyperlink" Target="http://conjugaison.lemonde.fr/conjugaison/troisieme-groupe/comprendre/" TargetMode="External"/><Relationship Id="rId36" Type="http://schemas.openxmlformats.org/officeDocument/2006/relationships/hyperlink" Target="http://conjugaison.lemonde.fr/conjugaison/deuxieme-groupe/%C3%A9tablir/" TargetMode="External"/><Relationship Id="rId37" Type="http://schemas.openxmlformats.org/officeDocument/2006/relationships/hyperlink" Target="http://conjugaison.lemonde.fr/conjugaison/premier-groupe/caresser/" TargetMode="External"/><Relationship Id="rId38" Type="http://schemas.openxmlformats.org/officeDocument/2006/relationships/hyperlink" Target="http://conjugaison.lemonde.fr/conjugaison/premier-groupe/autoriser/" TargetMode="External"/><Relationship Id="rId39" Type="http://schemas.openxmlformats.org/officeDocument/2006/relationships/hyperlink" Target="http://www.lemonde.fr/enquetes/" TargetMode="External"/><Relationship Id="rId20" Type="http://schemas.openxmlformats.org/officeDocument/2006/relationships/hyperlink" Target="http://conjugaison.lemonde.fr/conjugaison/troisieme-groupe/reconna%C3%AEtre/" TargetMode="External"/><Relationship Id="rId21" Type="http://schemas.openxmlformats.org/officeDocument/2006/relationships/hyperlink" Target="http://conjugaison.lemonde.fr/conjugaison/troisieme-groupe/mettre/" TargetMode="External"/><Relationship Id="rId22" Type="http://schemas.openxmlformats.org/officeDocument/2006/relationships/hyperlink" Target="http://conjugaison.lemonde.fr/conjugaison/troisieme-groupe/para%C3%AEtre/" TargetMode="External"/><Relationship Id="rId23" Type="http://schemas.openxmlformats.org/officeDocument/2006/relationships/hyperlink" Target="http://conjugaison.lemonde.fr/conjugaison/auxiliaire/avoir/" TargetMode="External"/><Relationship Id="rId24" Type="http://schemas.openxmlformats.org/officeDocument/2006/relationships/hyperlink" Target="http://conjugaison.lemonde.fr/conjugaison/premier-groupe/renouer/" TargetMode="External"/><Relationship Id="rId25" Type="http://schemas.openxmlformats.org/officeDocument/2006/relationships/hyperlink" Target="http://conjugaison.lemonde.fr/conjugaison/troisieme-groupe/sentir/" TargetMode="External"/><Relationship Id="rId26" Type="http://schemas.openxmlformats.org/officeDocument/2006/relationships/hyperlink" Target="http://conjugaison.lemonde.fr/conjugaison/troisieme-groupe/taire/" TargetMode="External"/><Relationship Id="rId27" Type="http://schemas.openxmlformats.org/officeDocument/2006/relationships/hyperlink" Target="http://conjugaison.lemonde.fr/conjugaison/premier-groupe/nommer/" TargetMode="External"/><Relationship Id="rId28" Type="http://schemas.openxmlformats.org/officeDocument/2006/relationships/hyperlink" Target="http://conjugaison.lemonde.fr/conjugaison/troisieme-groupe/savoir/" TargetMode="External"/><Relationship Id="rId29" Type="http://schemas.openxmlformats.org/officeDocument/2006/relationships/hyperlink" Target="http://conjugaison.lemonde.fr/conjugaison/premier-groupe/signifier/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://www.lemonde.fr/twitter/" TargetMode="External"/><Relationship Id="rId11" Type="http://schemas.openxmlformats.org/officeDocument/2006/relationships/hyperlink" Target="http://www.lemonde.fr/social/" TargetMode="External"/><Relationship Id="rId12" Type="http://schemas.openxmlformats.org/officeDocument/2006/relationships/hyperlink" Target="http://www.lemonde.fr/vous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1805</Words>
  <Characters>9930</Characters>
  <Application>Microsoft Macintosh Word</Application>
  <DocSecurity>0</DocSecurity>
  <Lines>82</Lines>
  <Paragraphs>23</Paragraphs>
  <ScaleCrop>false</ScaleCrop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Beroud</dc:creator>
  <cp:keywords/>
  <dc:description/>
  <cp:lastModifiedBy>heidi Beroud</cp:lastModifiedBy>
  <cp:revision>1</cp:revision>
  <dcterms:created xsi:type="dcterms:W3CDTF">2017-05-22T08:38:00Z</dcterms:created>
  <dcterms:modified xsi:type="dcterms:W3CDTF">2017-05-22T08:43:00Z</dcterms:modified>
</cp:coreProperties>
</file>